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6A" w:rsidRDefault="00807596">
      <w:pPr>
        <w:tabs>
          <w:tab w:val="left" w:pos="7739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Espaurugalhs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4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4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4"/>
          <w:sz w:val="24"/>
        </w:rPr>
        <w:t>Lo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4"/>
          <w:sz w:val="24"/>
        </w:rPr>
        <w:t>Totolha</w:t>
      </w:r>
    </w:p>
    <w:p w:rsidR="006A786A" w:rsidRDefault="006A786A">
      <w:pPr>
        <w:pStyle w:val="Corpsdetexte"/>
        <w:rPr>
          <w:sz w:val="28"/>
        </w:rPr>
      </w:pPr>
    </w:p>
    <w:p w:rsidR="006A786A" w:rsidRDefault="006A786A">
      <w:pPr>
        <w:pStyle w:val="Corpsdetexte"/>
        <w:rPr>
          <w:sz w:val="28"/>
        </w:rPr>
      </w:pPr>
    </w:p>
    <w:p w:rsidR="006A786A" w:rsidRDefault="006A786A">
      <w:pPr>
        <w:pStyle w:val="Corpsdetexte"/>
        <w:spacing w:before="9"/>
        <w:rPr>
          <w:sz w:val="36"/>
        </w:rPr>
      </w:pPr>
    </w:p>
    <w:p w:rsidR="006A786A" w:rsidRDefault="00807596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A786A" w:rsidRDefault="00807596">
      <w:pPr>
        <w:pStyle w:val="Corpsdetexte"/>
        <w:ind w:left="113" w:right="109" w:firstLine="226"/>
        <w:jc w:val="both"/>
      </w:pPr>
      <w:r>
        <w:rPr>
          <w:color w:val="231F20"/>
        </w:rPr>
        <w:t>Lo Totolha que v</w:t>
      </w:r>
      <w:r>
        <w:rPr>
          <w:color w:val="231F20"/>
        </w:rPr>
        <w:t>en d’ua faiçon hò</w:t>
      </w:r>
      <w:r>
        <w:rPr>
          <w:color w:val="231F20"/>
        </w:rPr>
        <w:t>rt</w:t>
      </w:r>
      <w:r>
        <w:rPr>
          <w:color w:val="231F20"/>
        </w:rPr>
        <w:t xml:space="preserve"> precisa, de la vila d’Auloron-Senta Maria,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on a vertadèrament viscut.</w:t>
      </w:r>
    </w:p>
    <w:p w:rsidR="006A786A" w:rsidRDefault="006A786A">
      <w:pPr>
        <w:pStyle w:val="Corpsdetexte"/>
        <w:spacing w:before="5"/>
      </w:pPr>
    </w:p>
    <w:p w:rsidR="006A786A" w:rsidRDefault="00807596">
      <w:pPr>
        <w:pStyle w:val="Heading1"/>
        <w:spacing w:before="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A786A" w:rsidRDefault="00807596">
      <w:pPr>
        <w:pStyle w:val="Corpsdetexte"/>
        <w:spacing w:before="57"/>
        <w:ind w:left="113" w:right="107" w:firstLine="226"/>
        <w:jc w:val="both"/>
      </w:pPr>
      <w:r>
        <w:rPr>
          <w:color w:val="231F20"/>
          <w:spacing w:val="-1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tots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espaurugalhs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compte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ací,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Totolha,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shet</w:t>
      </w:r>
      <w:r>
        <w:rPr>
          <w:color w:val="231F20"/>
          <w:spacing w:val="-1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dobte,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1"/>
        </w:rPr>
        <w:t>lo mè</w:t>
      </w:r>
      <w:r>
        <w:rPr>
          <w:color w:val="231F20"/>
          <w:spacing w:val="-1"/>
        </w:rPr>
        <w:t>i concrèt : qu’estot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personatge qui a existit en</w:t>
      </w:r>
      <w:r>
        <w:rPr>
          <w:color w:val="231F20"/>
        </w:rPr>
        <w:t>tà de bon e qui, ce disen,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avut ua vita plan hornida en benalèjas e aventuras. Lo monde que’u descriven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òmi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hò</w:t>
      </w:r>
      <w:r>
        <w:rPr>
          <w:color w:val="231F20"/>
        </w:rPr>
        <w:t>rt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ventorrut,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esperit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originau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fantasiós,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truculent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teatrau.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 son mòde de</w:t>
      </w:r>
      <w:r>
        <w:rPr>
          <w:color w:val="231F20"/>
        </w:rPr>
        <w:t xml:space="preserve"> vita, diferent deus aut</w:t>
      </w:r>
      <w:r>
        <w:rPr>
          <w:color w:val="231F20"/>
        </w:rPr>
        <w:t>s, que hasè que lo monde e l’avèn un chic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paur, e los dròlles dehèt </w:t>
      </w:r>
      <w:r>
        <w:rPr>
          <w:color w:val="231F20"/>
        </w:rPr>
        <w:t>: d’aquí</w:t>
      </w:r>
      <w:r>
        <w:rPr>
          <w:color w:val="231F20"/>
        </w:rPr>
        <w:t xml:space="preserve"> l’utilizacion que</w:t>
      </w:r>
      <w:r>
        <w:rPr>
          <w:color w:val="231F20"/>
        </w:rPr>
        <w:t xml:space="preserve"> n’estot</w:t>
      </w:r>
      <w:r>
        <w:rPr>
          <w:color w:val="231F20"/>
        </w:rPr>
        <w:t xml:space="preserve"> hèita, en las familhas,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 créder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mainats.</w:t>
      </w:r>
    </w:p>
    <w:p w:rsidR="006A786A" w:rsidRDefault="006A786A">
      <w:pPr>
        <w:pStyle w:val="Corpsdetexte"/>
        <w:spacing w:before="8"/>
      </w:pPr>
    </w:p>
    <w:p w:rsidR="006A786A" w:rsidRDefault="00807596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A786A" w:rsidRDefault="00807596">
      <w:pPr>
        <w:pStyle w:val="Corpsdetexte"/>
        <w:spacing w:before="58"/>
        <w:ind w:left="113" w:right="107" w:firstLine="226"/>
        <w:jc w:val="both"/>
      </w:pPr>
      <w:r>
        <w:rPr>
          <w:color w:val="231F20"/>
        </w:rPr>
        <w:t>La rumor que dit</w:t>
      </w:r>
      <w:r>
        <w:rPr>
          <w:color w:val="231F20"/>
        </w:rPr>
        <w:t xml:space="preserve"> lo Totolha qu’èra estat actor a París, av</w:t>
      </w:r>
      <w:r>
        <w:rPr>
          <w:color w:val="231F20"/>
        </w:rPr>
        <w:t>ant</w:t>
      </w:r>
      <w:r>
        <w:rPr>
          <w:color w:val="231F20"/>
        </w:rPr>
        <w:t xml:space="preserve"> de tor</w:t>
      </w:r>
      <w:r>
        <w:rPr>
          <w:color w:val="231F20"/>
        </w:rPr>
        <w:t>nar ví</w:t>
      </w:r>
      <w:r>
        <w:rPr>
          <w:color w:val="231F20"/>
        </w:rPr>
        <w:t>ner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passar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atge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Auloron,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vila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èra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vadut.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Aquí</w:t>
      </w:r>
      <w:r>
        <w:rPr>
          <w:color w:val="231F20"/>
        </w:rPr>
        <w:t>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qu’aquesí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ua grana notorietat populara, tant per lo son passat parisenc que per lo 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comportament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(qu’avè,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briaguèr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umoristic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creatiu).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sovier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Totolha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  <w:spacing w:val="-1"/>
        </w:rPr>
        <w:t>ishat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dens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memòrias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auloronesas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"/>
        </w:rPr>
        <w:t>morat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viu: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trufandisa,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l’arríder, chic</w:t>
      </w:r>
      <w:r>
        <w:rPr>
          <w:color w:val="231F20"/>
        </w:rPr>
        <w:t xml:space="preserve"> d’admiracion e d’enveja que s’i costejan. Lo Totolha, un còp mort,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qu’a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començat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segonda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vita: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qu’es</w:t>
      </w:r>
      <w:r>
        <w:rPr>
          <w:color w:val="231F20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uei,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sancerament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integrat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l’identitat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 la cultura locaus de la vila d’Auloron. Ua pastorala que l’i estot</w:t>
      </w:r>
      <w:r>
        <w:rPr>
          <w:color w:val="231F20"/>
        </w:rPr>
        <w:t xml:space="preserve"> consacrada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</w:t>
      </w:r>
      <w:r>
        <w:rPr>
          <w:color w:val="231F20"/>
        </w:rPr>
        <w:t>rmèras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sègle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XXI,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Carnaval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auloronés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n’a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hèit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personatge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simbèu,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l’egau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Pançard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Caronha.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Totolha,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uei,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prem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estatut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fetiche,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brèu,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personatge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istoric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».</w:t>
      </w:r>
    </w:p>
    <w:p w:rsidR="006A786A" w:rsidRDefault="006A786A">
      <w:pPr>
        <w:pStyle w:val="Corpsdetexte"/>
        <w:spacing w:before="11"/>
      </w:pPr>
    </w:p>
    <w:p w:rsidR="006A786A" w:rsidRDefault="00807596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A786A" w:rsidRDefault="00807596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right="111" w:firstLine="226"/>
        <w:rPr>
          <w:sz w:val="24"/>
        </w:rPr>
      </w:pPr>
      <w:r>
        <w:rPr>
          <w:color w:val="231F20"/>
          <w:sz w:val="24"/>
        </w:rPr>
        <w:t>John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Falstaff,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personatge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Shakespeare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Enric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IV</w:t>
      </w:r>
      <w:r>
        <w:rPr>
          <w:color w:val="231F20"/>
          <w:sz w:val="24"/>
        </w:rPr>
        <w:t>,</w:t>
      </w:r>
      <w:r>
        <w:rPr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Las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comairs</w:t>
      </w:r>
      <w:r>
        <w:rPr>
          <w:i/>
          <w:color w:val="231F20"/>
          <w:spacing w:val="4"/>
          <w:sz w:val="24"/>
        </w:rPr>
        <w:t xml:space="preserve"> </w:t>
      </w:r>
      <w:r>
        <w:rPr>
          <w:i/>
          <w:color w:val="231F20"/>
          <w:sz w:val="24"/>
        </w:rPr>
        <w:t>gaujosas</w:t>
      </w:r>
      <w:r>
        <w:rPr>
          <w:i/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Windsor).</w:t>
      </w:r>
    </w:p>
    <w:p w:rsidR="006A786A" w:rsidRDefault="00807596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Gargantua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Gargantuam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(Rabelais,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cultura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populara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occitana).</w:t>
      </w:r>
    </w:p>
    <w:p w:rsidR="006A786A" w:rsidRDefault="00807596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Bérurier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(San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Antonio).</w:t>
      </w:r>
    </w:p>
    <w:p w:rsidR="006A786A" w:rsidRDefault="00807596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personatge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carnavalesc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Sant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Pançard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Carnaval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bi</w:t>
      </w:r>
      <w:r>
        <w:rPr>
          <w:color w:val="231F20"/>
          <w:sz w:val="24"/>
        </w:rPr>
        <w:t>arnés.</w:t>
      </w:r>
    </w:p>
    <w:sectPr w:rsidR="006A786A" w:rsidSect="006A786A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C09"/>
    <w:multiLevelType w:val="hybridMultilevel"/>
    <w:tmpl w:val="DC86AB34"/>
    <w:lvl w:ilvl="0" w:tplc="9DDCA75A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D6A62D48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A184E97C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01C080A4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77323012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9FAE6CDE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DA72E5BE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4F06F4D6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4CDE68E4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A786A"/>
    <w:rsid w:val="006A786A"/>
    <w:rsid w:val="0080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786A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A786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A786A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A786A"/>
    <w:pPr>
      <w:spacing w:before="1"/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6A78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2022-01-26T09:30:00Z</dcterms:created>
  <dcterms:modified xsi:type="dcterms:W3CDTF">2022-01-27T09:57:00Z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